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208</w:t>
      </w:r>
    </w:p>
    <w:p>
      <w:r>
        <w:t>Bundesgericht (BGE), 1977-06-02, DE</w:t>
      </w:r>
    </w:p>
    <w:p>
      <w:r>
        <w:rPr>
          <w:b/>
        </w:rPr>
        <w:t xml:space="preserve">Quelle: </w:t>
      </w:r>
      <w:r>
        <w:t>https://mcp.opencaselaw.ch/entscheid/bge_103 IV 208</w:t>
      </w:r>
    </w:p>
    <w:p>
      <w:r>
        <w:t>FR: ATF 103 IV 208</w:t>
      </w:r>
    </w:p>
    <w:p>
      <w:r>
        <w:t>IT: DTF 103 IV 208</w:t>
      </w:r>
    </w:p>
    <w:p>
      <w:pPr>
        <w:pStyle w:val="Heading2"/>
      </w:pPr>
      <w:r>
        <w:t>Regeste</w:t>
      </w:r>
    </w:p>
    <w:p>
      <w:r>
        <w:t>Regeste Art. 9 Abs. 1 der Verordnung I zum A VG. Gewerbsmässige Arbeitsvermittlung. Die gewerbsmässige Arbeitsvermittlung setzt voraus, dass der Vermittler den Abschluss eines Dienstvertrages fördert und im Falle eines Erfolges Anspruch auf Mäklerlohn hat (E. 1a). Nach den gleichen Merkmalen beurteilt sich, ob die Vermittlung von Temporärarbeit im eigentlichen Sinn oder nach dem "Try and hire"-System gewerbsmässig betrieben wird (E. 1b und e, E. 2).</w:t>
      </w:r>
    </w:p>
    <w:p>
      <w:pPr>
        <w:pStyle w:val="Heading2"/>
      </w:pPr>
      <w:r>
        <w:t>Erwägungen</w:t>
      </w:r>
    </w:p>
    <w:p>
      <w:r>
        <w:rPr>
          <w:b/>
        </w:rPr>
        <w:t>E. 1</w:t>
      </w:r>
    </w:p>
    <w:p>
      <w:r>
        <w:t>Die gewerbsmässige Arbeitsvermittlung ist nach Art. 7 Abs. 1 AVG (SR 823.111) nur mit Bewilligung der zuständigen kantonalen Behörde gestattet. Als gewerbsmässige Arbeitsvermittlung gilt gemäss Art. 9 Abs. 1 der Verordnung I zum AVG vom 21. Dezember 1951 jede auf Gewinn gerichtete regelmässige Tätigkeit, mit der einem Auftraggeber Gelegenheit zum Abschluss eines Dienstvertrages oder einer dienstvertragsähnlichen Vereinbarung nachgewiesen oder der Abschluss eines solchen Vertrages vermittelt werden soll. Eine solche Tätigkeit fällt auch dann unter das Gesetz, wenn sie mittels der Herausgabe von besonderen Publikationsorganen, BGE 103 IV 208 S. 210 wie Stellenanzeigern, der Vermittlung von Adressen oder ähnlicher Vorkehren ausgeübt wird. a) Im Schrifttum besteht insoweit Übereinstimmung, dass Die Arbeitsvermittlung, wie sie in Art. 9 Abs. 1 der genannten Verordnung umschrieben ist, rechtlich die Merkmale des Mäklervertrages gemäss Art. 412 ff. OR aufweist (U. C. NEF, Temporäre Arbeit, Diss. Zürich 1971 S. 26/27; TH. WAEBER, Beitrag zur Geschichte und zum heutigen Begriff der Arbeitsvermittlung, Diss. Zürich 1976 S. 55). Wesentlich ist deshalb, dass der Arbeitsvermittler einerseits durch seine Nachweis- oder Vermittlungstätigkeit den Abschluss eines Dienstvertrages oder einer dienstvertragsähnlichen Vereinbarung (z.B. einen Werkvertrag, Auftrag; vgl. WAEBER, a.a.O. S. 97) fördert und dass er anderseits, wenn zwischen dem Kunden und dem Arbeitnehmer ein Vertrag auf Arbeitsleistung abgeschlossen wird, für diesen Erfolg Anspruch auf Mäklerlohn hat (BRUNO v. BÜREN, Schweiz. Obligationenrecht, BT S. 204, BECKER, N. 1 zu Art. 413 OR ). b) Bei der Vermittlung von Arbeitskräften nach dem System der temporären Arbeit, bei welchem die vermittelnde Organisation die von ihr verpflichtete Arbeitskraft ihren Kunden für eine zeitlich begrenzte Dauer überlässt, fehlt es am Merkmal der Förderung des Hauptvertragsabschlusses zwischen Arbeitnehmer und Kunde (s. auch TH. BRENDER, Rechtsprobleme des befristeten Arbeitsvertrages Diss. Zürich 1976 S. 38). Die Organisation ist vielmehr daran interessiert, dass ihr die temporäre Arbeitskraft als solche erhalten bleibe, weshalb sie in der Regel Massnahmen vorkehrt, um einem solchen Vertragsabschluss zwischen Kunde und der ihm überlassenen Arbeitskraft entgegenzuwirken (R. VON BÜREN, Teilzeitarbeit und temporäre Arbeit als neue Formen von Dienstleistung im schweizerischen Recht, Diss. Bern 1971 S. 192 f.; NEF, a.a.O. S. 28 sowie S. 105 ff.). Aus diesem Grund wird die Vermittlung temporärer Arbeit nicht als Arbeitsvermittlung gemäss Art. 9 der Verordnung I zum AVG angesehen (R. VON BÜREN, a.a.O. S. 190; NEF, a.a.O. S. 29/30; WAEBER, a.a.O. S. 97, 101). c) Das "Try and hire"-System besteht ebenfalls in einer zeitlich beschränkten Überlassung von Arbeitskräften der vermittelnden Organisation an ihre Kunden. Im Unterschied zum System der temporären Arbeit im eigentlichen Sinne lässt es BGE 103 IV 208 S. 211 die Organisation jedoch zu, dass zwischen dem Kunden und dem Arbeitnehmer für die Zeit nach Ablauf der Temporärarbeit ein Arbeitsvertrag abgeschlossen wird. Dass eine solche Geschäftstätigkeit, je nach ihrer konkreten Ausgestaltung, Arbeitsvermittlung im Sinne des Art. 9 Abs. 1 VO I zum AVG sein kann, ist deshalb nicht ausgeschlossen. Es muss demzufolge im Einzelfall näher geprüft werden, ob die Merkmale des Mäklervertrages wirklich gegeben seien oder nicht.</w:t>
      </w:r>
    </w:p>
    <w:p>
      <w:r>
        <w:rPr>
          <w:b/>
        </w:rPr>
        <w:t>E. 2</w:t>
      </w:r>
    </w:p>
    <w:p>
      <w:r>
        <w:t>Nach der verbindlichen Feststellung der Vorinstanz betreibt die Firma X. keine Dauerstellenvermittlung im üblichen Sinn. Sie wendet das erwähnte "Try and hire"-System so an, dass es Kunden und Arbeitnehmer nach Ablauf einer dreimonatigen Vertragsdauer anheimgestellt wird, miteinander direkt einen auf Dauer ausgerichteten Arbeitsvertrag abzuschliessen, ohne dass die Firma X. hiefür eine Konventionalstrafe, Entschädigung oder Vergütung verlangen könnte. Zwar ergibt sich daraus, dass die Firma X. über den Weg der temporären Arbeitsvermittlung oft Arbeitnehmern, die eine Dauerstelle suchen, und Arbeitgebern, die eine solche Stelle zu besetzen haben, die Möglichkeit zum Abschluss eines Arbeitsvertrages verschafft und insoweit Arbeit vermittelt. Diese Vermittlung von Dauerstellen fiele aber nur dann unter den Begriff der gewerbsmässigen Arbeitsvermittlung im Sinne des AVG, wenn sie entgeltlich wäre. Der Nachweis einer Entlöhnung ist indessen im vorliegenden Fall nicht erbracht. Nach den verbindlichen Feststellungen der Vorinstanz hat der Kunde, der den Arbeitnehmer nach Ablauf der drei Monate fest übernimmt, der Firma X. dafür keine besondere Entschädigung zu bezahlen; er muss ihr nur das für die dreimonatige Überlassung vereinbarte Entgelt entrichten, gleichgültig, ob ein Arbeitsvertrag zwischen ihm und dem Arbeitnehmer zustandekommt oder nicht. Auch steht fest, dass die Firma X. sowohl die Entlöhnung des Arbeitnehmers während der dreimonatigen Vertragsdauer als auch das vom Kunden für die Überlassung geschuldete Entgelt nach den gleichen Grundsätzen bemisst, die sie bei den Arbeitseinsätzen nach dem System der temporären Arbeit im eigentlichen Sinn anwendet. Es kann somit nicht gesagt werden, sie verlange eine Sonderentschädigung für die Vermittlung einer Dauerstelle, auch nicht in versteckter Form. Der Auffassung der Vorinstanz, dass die "Try and hire"-Anstellung keine gewerbsmässige Arbeitsvermittlung BGE 103 IV 208 S. 212 ist, wenn die Minimaldauer des temporären Einsatzes zum voraus festgelegt ist und für den allfälligen Übergang von der Temporär- zur Dauerarbeit keine zusätzliche Entschädigung bezahlt wird, ist daher beizupflichten. Der vorliegende Fall bietet keinen zwingenden Anlass, den Begriff der Arbeitsvermittlung anders als nach den Kriterien des Mäklervertrages auszulegen, um das "Try and hire"-System der Bewilligungspflicht zu unterstellen. Die im AVG geschaffene Ordnung soll vor allem dem Schutz des Arbeitnehmers gegen Ausbeutung dienen (Botschaft des Bundesrates, BBl 1950 II 341, 345, 360). Diese Gefahr besteht hier nach den tatsächlichen Feststellungen der Vorinstanz nicht. Auch gegen die Festlegung einer zeitlichen Mindestdauer von drei Monaten bestehen unter dem Gesichtspunkt des Arbeitnehmerschutzes keine Bedenken.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